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29" w:type="dxa"/>
        <w:tblInd w:w="-14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29"/>
      </w:tblGrid>
      <w:tr w:rsidR="00B1060C" w:rsidTr="009B2593">
        <w:trPr>
          <w:cantSplit/>
          <w:trHeight w:val="3118"/>
        </w:trPr>
        <w:tc>
          <w:tcPr>
            <w:tcW w:w="9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B1060C" w:rsidRDefault="00B1060C" w:rsidP="009B2593">
            <w:pPr>
              <w:pStyle w:val="Standard"/>
              <w:jc w:val="right"/>
            </w:pPr>
          </w:p>
          <w:p w:rsidR="00B1060C" w:rsidRDefault="00B1060C" w:rsidP="009B2593">
            <w:pPr>
              <w:pStyle w:val="Standard"/>
              <w:jc w:val="right"/>
              <w:rPr>
                <w:rFonts w:ascii="Calibri" w:hAnsi="Calibri" w:cs="Arial"/>
                <w:b/>
                <w:sz w:val="28"/>
                <w:szCs w:val="48"/>
              </w:rPr>
            </w:pPr>
            <w:r>
              <w:rPr>
                <w:rFonts w:ascii="Calibri" w:hAnsi="Calibri" w:cs="Arial"/>
                <w:b/>
                <w:sz w:val="28"/>
                <w:szCs w:val="48"/>
              </w:rPr>
              <w:t xml:space="preserve">            </w:t>
            </w:r>
          </w:p>
          <w:p w:rsidR="00B1060C" w:rsidRDefault="00B1060C" w:rsidP="009B2593">
            <w:pPr>
              <w:pStyle w:val="Standard"/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</w:rPr>
              <w:t xml:space="preserve">INWESTOR :                               </w:t>
            </w:r>
          </w:p>
          <w:p w:rsidR="00557166" w:rsidRDefault="00557166" w:rsidP="009B2593">
            <w:pPr>
              <w:pStyle w:val="Standard"/>
              <w:jc w:val="center"/>
              <w:rPr>
                <w:rFonts w:ascii="Calibri" w:hAnsi="Calibri" w:cs="Arial"/>
                <w:b/>
                <w:sz w:val="40"/>
                <w:szCs w:val="40"/>
              </w:rPr>
            </w:pPr>
          </w:p>
          <w:p w:rsidR="00B1060C" w:rsidRDefault="00F47453" w:rsidP="009B2593">
            <w:pPr>
              <w:pStyle w:val="Standard"/>
              <w:jc w:val="center"/>
              <w:rPr>
                <w:rFonts w:ascii="Calibri" w:hAnsi="Calibri" w:cs="Arial"/>
                <w:b/>
                <w:sz w:val="40"/>
                <w:szCs w:val="40"/>
              </w:rPr>
            </w:pPr>
            <w:r>
              <w:rPr>
                <w:rFonts w:ascii="Calibri" w:hAnsi="Calibri" w:cs="Arial"/>
                <w:b/>
                <w:sz w:val="40"/>
                <w:szCs w:val="40"/>
              </w:rPr>
              <w:t>OPERA WROCŁAWSKA</w:t>
            </w:r>
          </w:p>
          <w:p w:rsidR="00F47453" w:rsidRDefault="00F47453" w:rsidP="009B2593">
            <w:pPr>
              <w:pStyle w:val="Standard"/>
              <w:jc w:val="center"/>
              <w:rPr>
                <w:rFonts w:ascii="Calibri" w:hAnsi="Calibri" w:cs="Arial"/>
                <w:sz w:val="32"/>
                <w:szCs w:val="32"/>
              </w:rPr>
            </w:pPr>
            <w:r>
              <w:rPr>
                <w:rFonts w:ascii="Calibri" w:hAnsi="Calibri" w:cs="Arial"/>
                <w:sz w:val="32"/>
                <w:szCs w:val="32"/>
              </w:rPr>
              <w:t>Ul. Świdnicka 35</w:t>
            </w:r>
          </w:p>
          <w:p w:rsidR="00F47453" w:rsidRDefault="00F47453" w:rsidP="009B2593">
            <w:pPr>
              <w:pStyle w:val="Standard"/>
              <w:jc w:val="center"/>
              <w:rPr>
                <w:rFonts w:ascii="Calibri" w:hAnsi="Calibri" w:cs="Arial"/>
                <w:sz w:val="32"/>
                <w:szCs w:val="32"/>
              </w:rPr>
            </w:pPr>
            <w:r>
              <w:rPr>
                <w:rFonts w:ascii="Calibri" w:hAnsi="Calibri" w:cs="Arial"/>
                <w:sz w:val="32"/>
                <w:szCs w:val="32"/>
              </w:rPr>
              <w:t>50-066 Wrocław</w:t>
            </w:r>
          </w:p>
          <w:p w:rsidR="00B1060C" w:rsidRDefault="00B1060C" w:rsidP="009B2593">
            <w:pPr>
              <w:pStyle w:val="Standard"/>
              <w:jc w:val="center"/>
              <w:rPr>
                <w:rFonts w:ascii="Calibri" w:hAnsi="Calibri" w:cs="Arial"/>
                <w:sz w:val="32"/>
                <w:szCs w:val="32"/>
              </w:rPr>
            </w:pPr>
          </w:p>
        </w:tc>
      </w:tr>
    </w:tbl>
    <w:p w:rsidR="00B1060C" w:rsidRDefault="00B1060C" w:rsidP="00B1060C">
      <w:pPr>
        <w:pStyle w:val="Textbody"/>
        <w:rPr>
          <w:rFonts w:ascii="Calibri" w:hAnsi="Calibri"/>
        </w:rPr>
      </w:pPr>
    </w:p>
    <w:tbl>
      <w:tblPr>
        <w:tblW w:w="9200" w:type="dxa"/>
        <w:tblInd w:w="-14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00"/>
      </w:tblGrid>
      <w:tr w:rsidR="00B1060C" w:rsidTr="00F47453">
        <w:trPr>
          <w:cantSplit/>
          <w:trHeight w:val="383"/>
        </w:trPr>
        <w:tc>
          <w:tcPr>
            <w:tcW w:w="92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B1060C" w:rsidRDefault="00B1060C" w:rsidP="009B2593">
            <w:pPr>
              <w:pStyle w:val="Standard"/>
              <w:snapToGrid w:val="0"/>
              <w:jc w:val="center"/>
              <w:rPr>
                <w:rFonts w:ascii="Calibri" w:hAnsi="Calibri" w:cs="Arial"/>
                <w:b/>
                <w:sz w:val="36"/>
              </w:rPr>
            </w:pPr>
          </w:p>
        </w:tc>
      </w:tr>
      <w:tr w:rsidR="00B1060C" w:rsidTr="00F47453">
        <w:trPr>
          <w:cantSplit/>
          <w:trHeight w:val="2280"/>
        </w:trPr>
        <w:tc>
          <w:tcPr>
            <w:tcW w:w="9200" w:type="dxa"/>
            <w:tcBorders>
              <w:top w:val="single" w:sz="36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B1060C" w:rsidRDefault="00B1060C" w:rsidP="009B2593">
            <w:pPr>
              <w:pStyle w:val="Standard"/>
              <w:jc w:val="center"/>
              <w:rPr>
                <w:rFonts w:ascii="Calibri" w:hAnsi="Calibri" w:cs="Arial"/>
                <w:sz w:val="36"/>
              </w:rPr>
            </w:pPr>
          </w:p>
          <w:p w:rsidR="00F47453" w:rsidRDefault="00F47453" w:rsidP="009B2593">
            <w:pPr>
              <w:pStyle w:val="Zwizy"/>
              <w:jc w:val="center"/>
              <w:rPr>
                <w:rFonts w:ascii="Calibri" w:hAnsi="Calibri"/>
                <w:b/>
                <w:bCs/>
                <w:sz w:val="32"/>
                <w:szCs w:val="32"/>
                <w:lang w:val="pl-PL"/>
              </w:rPr>
            </w:pPr>
          </w:p>
          <w:p w:rsidR="00B1060C" w:rsidRPr="00557166" w:rsidRDefault="00F47453" w:rsidP="009B2593">
            <w:pPr>
              <w:pStyle w:val="Zwizy"/>
              <w:jc w:val="center"/>
              <w:rPr>
                <w:rFonts w:ascii="Calibri" w:hAnsi="Calibri"/>
                <w:bCs/>
                <w:sz w:val="32"/>
                <w:szCs w:val="32"/>
                <w:lang w:val="pl-PL"/>
              </w:rPr>
            </w:pPr>
            <w:r w:rsidRPr="00557166">
              <w:rPr>
                <w:rFonts w:ascii="Calibri" w:hAnsi="Calibri"/>
                <w:bCs/>
                <w:sz w:val="32"/>
                <w:szCs w:val="32"/>
                <w:lang w:val="pl-PL"/>
              </w:rPr>
              <w:t>Modernizacja układu sterowania napędów elektrycznych (etap II)</w:t>
            </w:r>
          </w:p>
          <w:p w:rsidR="00F47453" w:rsidRPr="00F47453" w:rsidRDefault="00F47453" w:rsidP="009B2593">
            <w:pPr>
              <w:pStyle w:val="Zwizy"/>
              <w:jc w:val="center"/>
              <w:rPr>
                <w:rFonts w:ascii="Calibri" w:hAnsi="Calibri"/>
                <w:b/>
                <w:bCs/>
                <w:sz w:val="32"/>
                <w:szCs w:val="32"/>
                <w:lang w:val="pl-PL"/>
              </w:rPr>
            </w:pPr>
          </w:p>
        </w:tc>
      </w:tr>
      <w:tr w:rsidR="00F47453" w:rsidTr="00F47453">
        <w:trPr>
          <w:cantSplit/>
          <w:trHeight w:val="1562"/>
        </w:trPr>
        <w:tc>
          <w:tcPr>
            <w:tcW w:w="92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F47453" w:rsidRPr="00296229" w:rsidRDefault="00233125" w:rsidP="00F47453">
            <w:pPr>
              <w:pStyle w:val="Zwizy"/>
              <w:jc w:val="center"/>
              <w:rPr>
                <w:rFonts w:ascii="Calibri" w:hAnsi="Calibri"/>
                <w:bCs/>
                <w:sz w:val="36"/>
                <w:szCs w:val="36"/>
                <w:lang w:val="pl-PL"/>
              </w:rPr>
            </w:pPr>
            <w:r w:rsidRPr="00296229">
              <w:rPr>
                <w:rFonts w:ascii="Calibri" w:hAnsi="Calibri"/>
                <w:bCs/>
                <w:sz w:val="36"/>
                <w:szCs w:val="36"/>
                <w:lang w:val="pl-PL"/>
              </w:rPr>
              <w:t>Realizacja założeń wynikających z oceny minimalnych warunków BHP</w:t>
            </w:r>
            <w:r w:rsidR="006D627C" w:rsidRPr="00296229">
              <w:rPr>
                <w:rFonts w:ascii="Calibri" w:hAnsi="Calibri"/>
                <w:bCs/>
                <w:sz w:val="36"/>
                <w:szCs w:val="36"/>
                <w:lang w:val="pl-PL"/>
              </w:rPr>
              <w:t xml:space="preserve"> dla urządzeń technologii sceny Opery Wrocławskiej.</w:t>
            </w:r>
          </w:p>
          <w:p w:rsidR="00F47453" w:rsidRDefault="00F47453" w:rsidP="009B2593">
            <w:pPr>
              <w:pStyle w:val="Zwizy"/>
              <w:jc w:val="center"/>
              <w:rPr>
                <w:rFonts w:ascii="Calibri" w:hAnsi="Calibri" w:cs="Arial"/>
                <w:sz w:val="40"/>
                <w:szCs w:val="40"/>
                <w:lang w:val="pl-PL"/>
              </w:rPr>
            </w:pPr>
          </w:p>
          <w:p w:rsidR="00EA1B78" w:rsidRDefault="00EA1B78" w:rsidP="009B2593">
            <w:pPr>
              <w:pStyle w:val="Zwizy"/>
              <w:jc w:val="center"/>
              <w:rPr>
                <w:rFonts w:ascii="Calibri" w:hAnsi="Calibri" w:cs="Arial"/>
                <w:sz w:val="40"/>
                <w:szCs w:val="40"/>
                <w:lang w:val="pl-PL"/>
              </w:rPr>
            </w:pPr>
          </w:p>
          <w:p w:rsidR="00EA1B78" w:rsidRDefault="00EA1B78" w:rsidP="009B2593">
            <w:pPr>
              <w:pStyle w:val="Zwizy"/>
              <w:jc w:val="center"/>
              <w:rPr>
                <w:rFonts w:ascii="Calibri" w:hAnsi="Calibri" w:cs="Arial"/>
                <w:sz w:val="40"/>
                <w:szCs w:val="40"/>
                <w:lang w:val="pl-PL"/>
              </w:rPr>
            </w:pPr>
          </w:p>
          <w:p w:rsidR="00EA1B78" w:rsidRDefault="00EA1B78" w:rsidP="00EA1B78">
            <w:pPr>
              <w:pStyle w:val="Zwizy"/>
              <w:jc w:val="center"/>
              <w:rPr>
                <w:rFonts w:ascii="Calibri" w:hAnsi="Calibri" w:cs="Arial"/>
                <w:sz w:val="36"/>
              </w:rPr>
            </w:pPr>
            <w:r>
              <w:rPr>
                <w:rFonts w:ascii="Calibri" w:hAnsi="Calibri" w:cs="Arial"/>
                <w:sz w:val="36"/>
              </w:rPr>
              <w:t>Temat :</w:t>
            </w:r>
          </w:p>
          <w:p w:rsidR="00296229" w:rsidRDefault="00FF2B13" w:rsidP="009B2593">
            <w:pPr>
              <w:pStyle w:val="Zwizy"/>
              <w:jc w:val="center"/>
              <w:rPr>
                <w:rFonts w:ascii="Calibri" w:hAnsi="Calibri" w:cs="Arial"/>
                <w:sz w:val="40"/>
                <w:szCs w:val="40"/>
                <w:lang w:val="pl-PL"/>
              </w:rPr>
            </w:pPr>
            <w:r w:rsidRPr="00FF2B13">
              <w:rPr>
                <w:rFonts w:ascii="Calibri" w:hAnsi="Calibri" w:cs="Arial"/>
                <w:sz w:val="40"/>
                <w:szCs w:val="40"/>
                <w:lang w:val="pl-PL"/>
              </w:rPr>
              <w:t>07_</w:t>
            </w:r>
            <w:r w:rsidR="00296229" w:rsidRPr="00FF2B13">
              <w:rPr>
                <w:rFonts w:ascii="Calibri" w:hAnsi="Calibri" w:cs="Arial"/>
                <w:sz w:val="40"/>
                <w:szCs w:val="40"/>
                <w:lang w:val="pl-PL"/>
              </w:rPr>
              <w:t>Kurtyna tekstylna podnoszona</w:t>
            </w:r>
          </w:p>
          <w:p w:rsidR="00EA1B78" w:rsidRDefault="00EA1B78" w:rsidP="00EA1B78">
            <w:pPr>
              <w:pStyle w:val="Zwizy"/>
              <w:rPr>
                <w:rFonts w:ascii="Calibri" w:hAnsi="Calibri" w:cs="Arial"/>
                <w:sz w:val="40"/>
                <w:szCs w:val="40"/>
                <w:lang w:val="pl-PL"/>
              </w:rPr>
            </w:pPr>
          </w:p>
          <w:p w:rsidR="00EA1B78" w:rsidRDefault="00EA1B78" w:rsidP="009B2593">
            <w:pPr>
              <w:pStyle w:val="Zwizy"/>
              <w:jc w:val="center"/>
              <w:rPr>
                <w:rFonts w:ascii="Calibri" w:hAnsi="Calibri" w:cs="Arial"/>
                <w:sz w:val="40"/>
                <w:szCs w:val="40"/>
                <w:lang w:val="pl-PL"/>
              </w:rPr>
            </w:pPr>
          </w:p>
          <w:p w:rsidR="00EA1B78" w:rsidRDefault="00EA1B78" w:rsidP="009B2593">
            <w:pPr>
              <w:pStyle w:val="Zwizy"/>
              <w:jc w:val="center"/>
              <w:rPr>
                <w:rFonts w:ascii="Calibri" w:hAnsi="Calibri" w:cs="Arial"/>
                <w:sz w:val="40"/>
                <w:szCs w:val="40"/>
                <w:lang w:val="pl-PL"/>
              </w:rPr>
            </w:pPr>
          </w:p>
          <w:p w:rsidR="00EA1B78" w:rsidRPr="00296229" w:rsidRDefault="00EA1B78" w:rsidP="009B2593">
            <w:pPr>
              <w:pStyle w:val="Zwizy"/>
              <w:jc w:val="center"/>
              <w:rPr>
                <w:rFonts w:ascii="Calibri" w:hAnsi="Calibri" w:cs="Arial"/>
                <w:sz w:val="36"/>
                <w:lang w:val="pl-PL"/>
              </w:rPr>
            </w:pPr>
          </w:p>
        </w:tc>
      </w:tr>
    </w:tbl>
    <w:p w:rsidR="00F47453" w:rsidRDefault="00F47453" w:rsidP="00B1060C">
      <w:pPr>
        <w:rPr>
          <w:rFonts w:ascii="Calibri" w:hAnsi="Calibri"/>
          <w:vanish/>
        </w:rPr>
      </w:pPr>
    </w:p>
    <w:tbl>
      <w:tblPr>
        <w:tblW w:w="0" w:type="auto"/>
        <w:tblInd w:w="-1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0"/>
      </w:tblGrid>
      <w:tr w:rsidR="00F47453" w:rsidTr="00F47453">
        <w:trPr>
          <w:trHeight w:val="210"/>
          <w:hidden/>
        </w:trPr>
        <w:tc>
          <w:tcPr>
            <w:tcW w:w="9060" w:type="dxa"/>
          </w:tcPr>
          <w:p w:rsidR="00F47453" w:rsidRDefault="00F47453" w:rsidP="00B1060C">
            <w:pPr>
              <w:rPr>
                <w:rFonts w:ascii="Calibri" w:hAnsi="Calibri"/>
                <w:vanish/>
              </w:rPr>
            </w:pPr>
          </w:p>
        </w:tc>
      </w:tr>
    </w:tbl>
    <w:p w:rsidR="00B1060C" w:rsidRDefault="00B1060C" w:rsidP="00B1060C">
      <w:pPr>
        <w:rPr>
          <w:rFonts w:ascii="Calibri" w:hAnsi="Calibri"/>
        </w:rPr>
      </w:pPr>
    </w:p>
    <w:p w:rsidR="00557166" w:rsidRDefault="00557166" w:rsidP="00B1060C">
      <w:pPr>
        <w:rPr>
          <w:rFonts w:ascii="Calibri" w:hAnsi="Calibri"/>
          <w:vanish/>
        </w:rPr>
      </w:pPr>
    </w:p>
    <w:p w:rsidR="00B1060C" w:rsidRDefault="00B1060C" w:rsidP="00B1060C">
      <w:pPr>
        <w:pStyle w:val="Standard"/>
        <w:ind w:left="-284"/>
        <w:rPr>
          <w:rFonts w:ascii="Calibri" w:hAnsi="Calibri" w:cs="Arial"/>
        </w:rPr>
      </w:pPr>
    </w:p>
    <w:p w:rsidR="00AB2A6B" w:rsidRDefault="005742B6" w:rsidP="008336D2">
      <w:pPr>
        <w:rPr>
          <w:rFonts w:asciiTheme="minorHAnsi" w:hAnsiTheme="minorHAnsi"/>
        </w:rPr>
      </w:pPr>
      <w:bookmarkStart w:id="0" w:name="_GoBack"/>
      <w:bookmarkEnd w:id="0"/>
      <w:r>
        <w:lastRenderedPageBreak/>
        <w:t xml:space="preserve"> </w:t>
      </w:r>
      <w:r w:rsidR="008336D2">
        <w:tab/>
      </w:r>
      <w:r w:rsidR="00AB2A6B" w:rsidRPr="00AB2A6B">
        <w:rPr>
          <w:rFonts w:asciiTheme="minorHAnsi" w:hAnsiTheme="minorHAnsi"/>
        </w:rPr>
        <w:t>Poniższe opracowanie dotyczy realizacji założeń wynikają</w:t>
      </w:r>
      <w:r w:rsidR="00AB2A6B">
        <w:rPr>
          <w:rFonts w:asciiTheme="minorHAnsi" w:hAnsiTheme="minorHAnsi"/>
        </w:rPr>
        <w:t>cych z oceny maszyny na zgodność z wymaganiami rozporządzenia Ministra Gospodarki z dnia 30 października 2002 r. w sprawie minimalnych wymagań dotyczących bezpieczeństwa i higieny pracy , dla wszystkich urządzeń technologii sceny Opery Wrocławskiej.</w:t>
      </w:r>
    </w:p>
    <w:p w:rsidR="00AB2A6B" w:rsidRDefault="00AB2A6B" w:rsidP="00865487">
      <w:pPr>
        <w:ind w:firstLine="708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W opracowaniu odniesiono się do wniosków</w:t>
      </w:r>
      <w:r w:rsidR="00865487">
        <w:rPr>
          <w:rFonts w:asciiTheme="minorHAnsi" w:hAnsiTheme="minorHAnsi"/>
        </w:rPr>
        <w:t xml:space="preserve"> z raportu</w:t>
      </w:r>
      <w:r>
        <w:rPr>
          <w:rFonts w:asciiTheme="minorHAnsi" w:hAnsiTheme="minorHAnsi"/>
        </w:rPr>
        <w:t xml:space="preserve"> z oceny</w:t>
      </w:r>
      <w:r w:rsidR="00865487">
        <w:rPr>
          <w:rFonts w:asciiTheme="minorHAnsi" w:hAnsiTheme="minorHAnsi"/>
        </w:rPr>
        <w:t xml:space="preserve"> zgodności minimalnymi wymaganiami BHP </w:t>
      </w:r>
      <w:r>
        <w:rPr>
          <w:rFonts w:asciiTheme="minorHAnsi" w:hAnsiTheme="minorHAnsi"/>
        </w:rPr>
        <w:t xml:space="preserve">przeprowadzonej przez Urząd Dozoru Technicznego  </w:t>
      </w:r>
    </w:p>
    <w:p w:rsidR="00AB2A6B" w:rsidRDefault="00AB2A6B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4D7D4F" w:rsidRDefault="004D7D4F" w:rsidP="00AB2A6B">
      <w:pPr>
        <w:jc w:val="both"/>
        <w:rPr>
          <w:rFonts w:asciiTheme="minorHAnsi" w:hAnsiTheme="minorHAnsi"/>
        </w:rPr>
      </w:pPr>
    </w:p>
    <w:p w:rsidR="004D7D4F" w:rsidRDefault="004D7D4F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DB6FBA" w:rsidP="00865487">
      <w:pPr>
        <w:pStyle w:val="Nagwek1"/>
        <w:numPr>
          <w:ilvl w:val="0"/>
          <w:numId w:val="2"/>
        </w:numPr>
      </w:pPr>
      <w:r>
        <w:lastRenderedPageBreak/>
        <w:t>Kurtyna tekstylna podnoszona</w:t>
      </w:r>
    </w:p>
    <w:p w:rsidR="00865487" w:rsidRPr="00865487" w:rsidRDefault="00865487" w:rsidP="00865487"/>
    <w:p w:rsidR="00865487" w:rsidRPr="00865487" w:rsidRDefault="00865487" w:rsidP="00AB2A6B">
      <w:pPr>
        <w:jc w:val="both"/>
        <w:rPr>
          <w:rFonts w:asciiTheme="minorHAnsi" w:hAnsiTheme="minorHAnsi"/>
        </w:rPr>
      </w:pPr>
      <w:r w:rsidRPr="00865487">
        <w:rPr>
          <w:rFonts w:asciiTheme="minorHAnsi" w:hAnsiTheme="minorHAnsi"/>
        </w:rPr>
        <w:t xml:space="preserve">Poniższe propozycje dostosowania maszyny </w:t>
      </w:r>
      <w:r w:rsidRPr="00865487">
        <w:rPr>
          <w:rFonts w:asciiTheme="minorHAnsi" w:hAnsiTheme="minorHAnsi"/>
          <w:bCs/>
        </w:rPr>
        <w:t xml:space="preserve">dotyczy </w:t>
      </w:r>
      <w:r w:rsidR="00DB6FBA">
        <w:rPr>
          <w:rFonts w:asciiTheme="minorHAnsi" w:hAnsiTheme="minorHAnsi"/>
          <w:bCs/>
        </w:rPr>
        <w:t>kurtyny tekstylnej podnoszonej</w:t>
      </w:r>
      <w:r w:rsidRPr="00865487">
        <w:rPr>
          <w:rFonts w:asciiTheme="minorHAnsi" w:hAnsiTheme="minorHAnsi"/>
          <w:bCs/>
        </w:rPr>
        <w:t>:</w:t>
      </w: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4C56F4">
      <w:pPr>
        <w:pStyle w:val="Akapitzlist"/>
        <w:numPr>
          <w:ilvl w:val="0"/>
          <w:numId w:val="3"/>
        </w:numPr>
        <w:tabs>
          <w:tab w:val="left" w:pos="3735"/>
        </w:tabs>
        <w:jc w:val="both"/>
        <w:rPr>
          <w:rFonts w:asciiTheme="minorHAnsi" w:hAnsiTheme="minorHAnsi"/>
          <w:i/>
        </w:rPr>
      </w:pPr>
      <w:r w:rsidRPr="00883B1B">
        <w:rPr>
          <w:rFonts w:asciiTheme="minorHAnsi" w:hAnsiTheme="minorHAnsi"/>
          <w:i/>
        </w:rPr>
        <w:t>„</w:t>
      </w:r>
      <w:r w:rsidR="0098713D" w:rsidRPr="0098713D">
        <w:rPr>
          <w:rFonts w:asciiTheme="minorHAnsi" w:hAnsiTheme="minorHAnsi"/>
          <w:i/>
          <w:szCs w:val="24"/>
        </w:rPr>
        <w:t>Uzupełnić urządzenie w osłony zabezpieczające przed dostępem do elementów ruchomych</w:t>
      </w:r>
      <w:r w:rsidRPr="00883B1B">
        <w:rPr>
          <w:rFonts w:asciiTheme="minorHAnsi" w:hAnsiTheme="minorHAnsi"/>
          <w:i/>
        </w:rPr>
        <w:t>”</w:t>
      </w:r>
    </w:p>
    <w:p w:rsidR="00E33966" w:rsidRDefault="00E33966" w:rsidP="00E33966">
      <w:pPr>
        <w:pStyle w:val="Akapitzlist"/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E33966" w:rsidRDefault="00E33966" w:rsidP="00E33966">
      <w:pPr>
        <w:jc w:val="both"/>
        <w:rPr>
          <w:rFonts w:asciiTheme="minorHAnsi" w:hAnsiTheme="minorHAnsi"/>
          <w:sz w:val="22"/>
          <w:szCs w:val="22"/>
        </w:rPr>
      </w:pPr>
      <w:r w:rsidRPr="00AC2B33">
        <w:rPr>
          <w:rFonts w:asciiTheme="minorHAnsi" w:hAnsiTheme="minorHAnsi"/>
          <w:sz w:val="22"/>
          <w:szCs w:val="22"/>
        </w:rPr>
        <w:t>Dostęp do elementów ruchomych zostanie ograniczony poprzez wydzielenie przestrzeni</w:t>
      </w:r>
      <w:r>
        <w:rPr>
          <w:rFonts w:asciiTheme="minorHAnsi" w:hAnsiTheme="minorHAnsi"/>
          <w:sz w:val="22"/>
          <w:szCs w:val="22"/>
        </w:rPr>
        <w:t>,</w:t>
      </w:r>
      <w:r w:rsidRPr="00AC2B33">
        <w:rPr>
          <w:rFonts w:asciiTheme="minorHAnsi" w:hAnsiTheme="minorHAnsi"/>
          <w:sz w:val="22"/>
          <w:szCs w:val="22"/>
        </w:rPr>
        <w:t xml:space="preserve"> w której ustawione są bębny linowe z napędami. W tym celu zastosowane zostaną ogrodzenia panelowe o wysokości 1,8m. Aby umożliwić dostęp do wciągarek podczas prac konserwatorskich w ogrodzeniu znajdować się będzie furtka </w:t>
      </w:r>
      <w:r>
        <w:rPr>
          <w:rFonts w:asciiTheme="minorHAnsi" w:hAnsiTheme="minorHAnsi"/>
          <w:sz w:val="22"/>
          <w:szCs w:val="22"/>
        </w:rPr>
        <w:t>Wyposażona w rygiel elektromechanicznym z</w:t>
      </w:r>
      <w:r w:rsidRPr="00AC2B33">
        <w:rPr>
          <w:rFonts w:asciiTheme="minorHAnsi" w:hAnsiTheme="minorHAnsi"/>
          <w:sz w:val="22"/>
          <w:szCs w:val="22"/>
        </w:rPr>
        <w:t xml:space="preserve"> potwierdzeniem zamknięcia.</w:t>
      </w:r>
      <w:r>
        <w:rPr>
          <w:rFonts w:asciiTheme="minorHAnsi" w:hAnsiTheme="minorHAnsi"/>
          <w:sz w:val="22"/>
          <w:szCs w:val="22"/>
        </w:rPr>
        <w:t xml:space="preserve"> </w:t>
      </w:r>
    </w:p>
    <w:p w:rsidR="00E33966" w:rsidRPr="00AC2B33" w:rsidRDefault="00E33966" w:rsidP="00E33966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Schemat z wrysowanymi ogrodzeniem na planie maszynowni w załączniku nr 1 „Plan ogrodzenia wciągników”</w:t>
      </w:r>
    </w:p>
    <w:p w:rsidR="00E33966" w:rsidRPr="001873DF" w:rsidRDefault="00E33966" w:rsidP="00E33966">
      <w:pPr>
        <w:jc w:val="both"/>
        <w:rPr>
          <w:rFonts w:asciiTheme="minorHAnsi" w:hAnsiTheme="minorHAnsi"/>
          <w:i/>
        </w:rPr>
      </w:pPr>
      <w:r>
        <w:rPr>
          <w:rFonts w:asciiTheme="minorHAnsi" w:hAnsiTheme="minorHAnsi"/>
          <w:i/>
          <w:noProof/>
          <w:lang w:eastAsia="pl-PL" w:bidi="ar-SA"/>
        </w:rPr>
        <w:drawing>
          <wp:anchor distT="0" distB="0" distL="114300" distR="114300" simplePos="0" relativeHeight="251659264" behindDoc="0" locked="0" layoutInCell="1" allowOverlap="1" wp14:anchorId="38973DE2" wp14:editId="1D2DE7FC">
            <wp:simplePos x="0" y="0"/>
            <wp:positionH relativeFrom="column">
              <wp:posOffset>1109980</wp:posOffset>
            </wp:positionH>
            <wp:positionV relativeFrom="paragraph">
              <wp:posOffset>174625</wp:posOffset>
            </wp:positionV>
            <wp:extent cx="1076325" cy="1634176"/>
            <wp:effectExtent l="0" t="0" r="0" b="4445"/>
            <wp:wrapSquare wrapText="bothSides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anel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16341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33966" w:rsidRDefault="00E33966" w:rsidP="00E33966">
      <w:pPr>
        <w:rPr>
          <w:rFonts w:asciiTheme="minorHAnsi" w:hAnsiTheme="minorHAnsi"/>
          <w:i/>
        </w:rPr>
      </w:pPr>
      <w:r>
        <w:rPr>
          <w:rFonts w:asciiTheme="minorHAnsi" w:hAnsiTheme="minorHAnsi"/>
          <w:i/>
          <w:noProof/>
          <w:lang w:eastAsia="pl-PL" w:bidi="ar-SA"/>
        </w:rPr>
        <w:drawing>
          <wp:anchor distT="0" distB="0" distL="114300" distR="114300" simplePos="0" relativeHeight="251660288" behindDoc="0" locked="0" layoutInCell="1" allowOverlap="1" wp14:anchorId="05298312" wp14:editId="2495F8D2">
            <wp:simplePos x="0" y="0"/>
            <wp:positionH relativeFrom="column">
              <wp:posOffset>2795905</wp:posOffset>
            </wp:positionH>
            <wp:positionV relativeFrom="paragraph">
              <wp:posOffset>7620</wp:posOffset>
            </wp:positionV>
            <wp:extent cx="1028700" cy="1653268"/>
            <wp:effectExtent l="0" t="0" r="0" b="4445"/>
            <wp:wrapSquare wrapText="bothSides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klamka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16532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33966" w:rsidRDefault="00E33966" w:rsidP="00E33966">
      <w:pPr>
        <w:rPr>
          <w:rFonts w:asciiTheme="minorHAnsi" w:hAnsiTheme="minorHAnsi"/>
          <w:i/>
        </w:rPr>
      </w:pPr>
    </w:p>
    <w:p w:rsidR="00E33966" w:rsidRDefault="00E33966" w:rsidP="00E33966">
      <w:pPr>
        <w:rPr>
          <w:rFonts w:asciiTheme="minorHAnsi" w:hAnsiTheme="minorHAnsi"/>
          <w:i/>
        </w:rPr>
      </w:pPr>
    </w:p>
    <w:p w:rsidR="00E33966" w:rsidRDefault="00E33966" w:rsidP="00E33966">
      <w:pPr>
        <w:rPr>
          <w:rFonts w:asciiTheme="minorHAnsi" w:hAnsiTheme="minorHAnsi"/>
          <w:i/>
        </w:rPr>
      </w:pPr>
    </w:p>
    <w:p w:rsidR="00E33966" w:rsidRDefault="00E33966" w:rsidP="00E33966">
      <w:pPr>
        <w:rPr>
          <w:rFonts w:asciiTheme="minorHAnsi" w:hAnsiTheme="minorHAnsi"/>
          <w:i/>
        </w:rPr>
      </w:pPr>
    </w:p>
    <w:p w:rsidR="00E33966" w:rsidRDefault="00E33966" w:rsidP="00E33966">
      <w:pPr>
        <w:rPr>
          <w:rFonts w:asciiTheme="minorHAnsi" w:hAnsiTheme="minorHAnsi"/>
          <w:i/>
        </w:rPr>
      </w:pPr>
    </w:p>
    <w:p w:rsidR="00E33966" w:rsidRDefault="00E33966" w:rsidP="00E33966">
      <w:pPr>
        <w:rPr>
          <w:rFonts w:asciiTheme="minorHAnsi" w:hAnsiTheme="minorHAnsi"/>
          <w:i/>
        </w:rPr>
      </w:pPr>
    </w:p>
    <w:p w:rsidR="00E33966" w:rsidRDefault="00E33966" w:rsidP="00E33966">
      <w:pPr>
        <w:rPr>
          <w:rFonts w:asciiTheme="minorHAnsi" w:hAnsiTheme="minorHAnsi"/>
          <w:i/>
        </w:rPr>
      </w:pPr>
    </w:p>
    <w:p w:rsidR="00E33966" w:rsidRDefault="00E33966" w:rsidP="00E33966">
      <w:pPr>
        <w:rPr>
          <w:rFonts w:asciiTheme="minorHAnsi" w:hAnsiTheme="minorHAnsi"/>
          <w:i/>
        </w:rPr>
      </w:pPr>
    </w:p>
    <w:p w:rsidR="00E33966" w:rsidRPr="00B07E07" w:rsidRDefault="00E33966" w:rsidP="00E33966">
      <w:pPr>
        <w:jc w:val="center"/>
        <w:rPr>
          <w:rFonts w:asciiTheme="minorHAnsi" w:hAnsiTheme="minorHAnsi"/>
          <w:i/>
        </w:rPr>
      </w:pPr>
      <w:r>
        <w:rPr>
          <w:rFonts w:asciiTheme="minorHAnsi" w:hAnsiTheme="minorHAnsi"/>
          <w:i/>
        </w:rPr>
        <w:t>Elementy ogrodzenia wokół wciągarek</w:t>
      </w:r>
    </w:p>
    <w:p w:rsidR="00E33966" w:rsidRDefault="00E33966" w:rsidP="00E33966">
      <w:pPr>
        <w:pStyle w:val="Akapitzlist"/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296229" w:rsidRDefault="00296229" w:rsidP="00296229">
      <w:pPr>
        <w:pStyle w:val="Akapitzlist"/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98713D" w:rsidRPr="00E33966" w:rsidRDefault="0098713D" w:rsidP="00E33966">
      <w:pPr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98713D" w:rsidRDefault="0098713D" w:rsidP="004C56F4">
      <w:pPr>
        <w:pStyle w:val="Akapitzlist"/>
        <w:numPr>
          <w:ilvl w:val="0"/>
          <w:numId w:val="3"/>
        </w:numPr>
        <w:tabs>
          <w:tab w:val="left" w:pos="3735"/>
        </w:tabs>
        <w:jc w:val="both"/>
        <w:rPr>
          <w:rFonts w:asciiTheme="minorHAnsi" w:hAnsiTheme="minorHAnsi"/>
          <w:i/>
        </w:rPr>
      </w:pPr>
      <w:r>
        <w:rPr>
          <w:rFonts w:asciiTheme="minorHAnsi" w:hAnsiTheme="minorHAnsi"/>
          <w:i/>
        </w:rPr>
        <w:t xml:space="preserve">„Ograniczyć dostęp do </w:t>
      </w:r>
      <w:proofErr w:type="spellStart"/>
      <w:r>
        <w:rPr>
          <w:rFonts w:asciiTheme="minorHAnsi" w:hAnsiTheme="minorHAnsi"/>
          <w:i/>
        </w:rPr>
        <w:t>linowni</w:t>
      </w:r>
      <w:proofErr w:type="spellEnd"/>
      <w:r>
        <w:rPr>
          <w:rFonts w:asciiTheme="minorHAnsi" w:hAnsiTheme="minorHAnsi"/>
          <w:i/>
        </w:rPr>
        <w:t xml:space="preserve"> (najwyższa kondygnacja nad sceną) osobom nieupoważnionym. Sposób zachowania w </w:t>
      </w:r>
      <w:proofErr w:type="spellStart"/>
      <w:r>
        <w:rPr>
          <w:rFonts w:asciiTheme="minorHAnsi" w:hAnsiTheme="minorHAnsi"/>
          <w:i/>
        </w:rPr>
        <w:t>linowni</w:t>
      </w:r>
      <w:proofErr w:type="spellEnd"/>
      <w:r>
        <w:rPr>
          <w:rFonts w:asciiTheme="minorHAnsi" w:hAnsiTheme="minorHAnsi"/>
          <w:i/>
        </w:rPr>
        <w:t xml:space="preserve"> opisany w instrukcji”</w:t>
      </w:r>
    </w:p>
    <w:p w:rsidR="00E33966" w:rsidRDefault="00E33966" w:rsidP="00E33966">
      <w:pPr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E33966" w:rsidRPr="00E33966" w:rsidRDefault="00E33966" w:rsidP="00E33966">
      <w:pPr>
        <w:tabs>
          <w:tab w:val="left" w:pos="3735"/>
        </w:tabs>
        <w:jc w:val="both"/>
        <w:rPr>
          <w:rFonts w:asciiTheme="minorHAnsi" w:hAnsiTheme="minorHAnsi"/>
          <w:sz w:val="22"/>
          <w:szCs w:val="22"/>
        </w:rPr>
      </w:pPr>
      <w:r w:rsidRPr="00E33966">
        <w:rPr>
          <w:rFonts w:asciiTheme="minorHAnsi" w:hAnsiTheme="minorHAnsi"/>
          <w:sz w:val="22"/>
          <w:szCs w:val="22"/>
        </w:rPr>
        <w:t xml:space="preserve">Wejście do </w:t>
      </w:r>
      <w:proofErr w:type="spellStart"/>
      <w:r w:rsidRPr="00E33966">
        <w:rPr>
          <w:rFonts w:asciiTheme="minorHAnsi" w:hAnsiTheme="minorHAnsi"/>
          <w:sz w:val="22"/>
          <w:szCs w:val="22"/>
        </w:rPr>
        <w:t>linowni</w:t>
      </w:r>
      <w:proofErr w:type="spellEnd"/>
      <w:r w:rsidRPr="00E33966">
        <w:rPr>
          <w:rFonts w:asciiTheme="minorHAnsi" w:hAnsiTheme="minorHAnsi"/>
          <w:sz w:val="22"/>
          <w:szCs w:val="22"/>
        </w:rPr>
        <w:t xml:space="preserve"> zabezpieczyć drzwiami zamykanymi na klucz. Przy wejściu umieścić znak ostrzegawczy nieupoważnionym wstęp wzbroniony.</w:t>
      </w:r>
    </w:p>
    <w:p w:rsidR="00E33966" w:rsidRDefault="00E33966" w:rsidP="00E33966">
      <w:pPr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E33966" w:rsidRDefault="00E33966" w:rsidP="00E33966">
      <w:pPr>
        <w:tabs>
          <w:tab w:val="left" w:pos="3735"/>
        </w:tabs>
        <w:jc w:val="both"/>
        <w:rPr>
          <w:rFonts w:asciiTheme="minorHAnsi" w:hAnsiTheme="minorHAnsi"/>
          <w:i/>
        </w:rPr>
      </w:pPr>
      <w:r>
        <w:rPr>
          <w:noProof/>
          <w:lang w:eastAsia="pl-PL" w:bidi="ar-SA"/>
        </w:rPr>
        <w:drawing>
          <wp:anchor distT="0" distB="0" distL="114300" distR="114300" simplePos="0" relativeHeight="251661312" behindDoc="0" locked="0" layoutInCell="1" allowOverlap="1" wp14:anchorId="18C0ED2B" wp14:editId="3C574777">
            <wp:simplePos x="0" y="0"/>
            <wp:positionH relativeFrom="margin">
              <wp:align>center</wp:align>
            </wp:positionH>
            <wp:positionV relativeFrom="paragraph">
              <wp:posOffset>65405</wp:posOffset>
            </wp:positionV>
            <wp:extent cx="1676400" cy="1190242"/>
            <wp:effectExtent l="0" t="0" r="0" b="0"/>
            <wp:wrapSquare wrapText="bothSides"/>
            <wp:docPr id="5" name="Obraz 5" descr="http://images.kangoo.pl/10422212/3886/large/tablica_uwaga_nieupowaznionym_wstep_wzbronion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ages.kangoo.pl/10422212/3886/large/tablica_uwaga_nieupowaznionym_wstep_wzbroniony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190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33966" w:rsidRDefault="00E33966" w:rsidP="00E33966">
      <w:pPr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E33966" w:rsidRDefault="00E33966" w:rsidP="00E33966">
      <w:pPr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E33966" w:rsidRDefault="00E33966" w:rsidP="00E33966">
      <w:pPr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E33966" w:rsidRDefault="00E33966" w:rsidP="00E33966">
      <w:pPr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E33966" w:rsidRDefault="00E33966" w:rsidP="00E33966">
      <w:pPr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E33966" w:rsidRDefault="00E33966" w:rsidP="00E33966">
      <w:pPr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E33966" w:rsidRDefault="00E33966" w:rsidP="00E33966">
      <w:pPr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98713D" w:rsidRPr="0098713D" w:rsidRDefault="0098713D" w:rsidP="0098713D">
      <w:pPr>
        <w:pStyle w:val="Akapitzlist"/>
        <w:rPr>
          <w:rFonts w:asciiTheme="minorHAnsi" w:hAnsiTheme="minorHAnsi"/>
          <w:i/>
        </w:rPr>
      </w:pPr>
    </w:p>
    <w:p w:rsidR="0098713D" w:rsidRPr="00AA1127" w:rsidRDefault="0098713D" w:rsidP="004C56F4">
      <w:pPr>
        <w:pStyle w:val="Akapitzlist"/>
        <w:numPr>
          <w:ilvl w:val="0"/>
          <w:numId w:val="3"/>
        </w:numPr>
        <w:tabs>
          <w:tab w:val="left" w:pos="3735"/>
        </w:tabs>
        <w:jc w:val="both"/>
        <w:rPr>
          <w:rFonts w:asciiTheme="minorHAnsi" w:hAnsiTheme="minorHAnsi"/>
          <w:i/>
        </w:rPr>
      </w:pPr>
      <w:r w:rsidRPr="0098713D">
        <w:rPr>
          <w:rFonts w:asciiTheme="minorHAnsi" w:hAnsiTheme="minorHAnsi"/>
          <w:i/>
          <w:szCs w:val="24"/>
        </w:rPr>
        <w:t>„Wyposażyć koła linowe w zabezpieczenie przed wypadnięciem liny z rowka”</w:t>
      </w:r>
    </w:p>
    <w:p w:rsidR="00AA1127" w:rsidRDefault="00AA1127" w:rsidP="00AA1127">
      <w:pPr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AA1127" w:rsidRPr="00141616" w:rsidRDefault="00AA1127" w:rsidP="00AA1127">
      <w:pPr>
        <w:rPr>
          <w:rFonts w:asciiTheme="minorHAnsi" w:hAnsiTheme="minorHAnsi"/>
          <w:sz w:val="22"/>
          <w:szCs w:val="22"/>
        </w:rPr>
      </w:pPr>
      <w:r w:rsidRPr="00141616">
        <w:rPr>
          <w:rFonts w:asciiTheme="minorHAnsi" w:hAnsiTheme="minorHAnsi"/>
          <w:sz w:val="22"/>
          <w:szCs w:val="22"/>
        </w:rPr>
        <w:t xml:space="preserve">Wszystkie koła linowe zabezpieczone przed wypadnięciem liny. </w:t>
      </w:r>
    </w:p>
    <w:p w:rsidR="00AA1127" w:rsidRPr="00AA1127" w:rsidRDefault="00AA1127" w:rsidP="00AA1127">
      <w:pPr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98713D" w:rsidRPr="0098713D" w:rsidRDefault="0098713D" w:rsidP="0098713D">
      <w:pPr>
        <w:pStyle w:val="Akapitzlist"/>
        <w:rPr>
          <w:rFonts w:asciiTheme="minorHAnsi" w:hAnsiTheme="minorHAnsi"/>
          <w:i/>
        </w:rPr>
      </w:pPr>
    </w:p>
    <w:p w:rsidR="00865487" w:rsidRDefault="00865487" w:rsidP="004C56F4">
      <w:pPr>
        <w:pStyle w:val="Akapitzlist"/>
        <w:numPr>
          <w:ilvl w:val="0"/>
          <w:numId w:val="3"/>
        </w:numPr>
        <w:tabs>
          <w:tab w:val="left" w:pos="3735"/>
        </w:tabs>
        <w:jc w:val="both"/>
        <w:rPr>
          <w:rFonts w:asciiTheme="minorHAnsi" w:hAnsiTheme="minorHAnsi"/>
          <w:i/>
        </w:rPr>
      </w:pPr>
      <w:r w:rsidRPr="00883B1B">
        <w:rPr>
          <w:rFonts w:asciiTheme="minorHAnsi" w:hAnsiTheme="minorHAnsi"/>
          <w:i/>
        </w:rPr>
        <w:lastRenderedPageBreak/>
        <w:t>„</w:t>
      </w:r>
      <w:r w:rsidR="00EF1284" w:rsidRPr="00EF1284">
        <w:rPr>
          <w:rFonts w:asciiTheme="minorHAnsi" w:hAnsiTheme="minorHAnsi"/>
          <w:i/>
          <w:szCs w:val="24"/>
        </w:rPr>
        <w:t>Uzupełnić stanowiska pracy konserwatora w łączniki STOP umożliwiające wyłączenie obsługiwanego urządzenia oraz urządzeń sąsiadujących w razie wystąpienia niebezpieczeństwa</w:t>
      </w:r>
      <w:r w:rsidRPr="00883B1B">
        <w:rPr>
          <w:rFonts w:asciiTheme="minorHAnsi" w:hAnsiTheme="minorHAnsi"/>
          <w:i/>
        </w:rPr>
        <w:t>”</w:t>
      </w:r>
    </w:p>
    <w:p w:rsidR="00AA1127" w:rsidRDefault="00AA1127" w:rsidP="00AA1127">
      <w:pPr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9115CE" w:rsidRPr="001A378A" w:rsidRDefault="009115CE" w:rsidP="009115CE">
      <w:pPr>
        <w:tabs>
          <w:tab w:val="left" w:pos="3735"/>
        </w:tabs>
        <w:jc w:val="both"/>
        <w:rPr>
          <w:rFonts w:asciiTheme="minorHAnsi" w:hAnsiTheme="minorHAnsi"/>
          <w:sz w:val="22"/>
          <w:szCs w:val="22"/>
        </w:rPr>
      </w:pPr>
      <w:r w:rsidRPr="001A378A">
        <w:rPr>
          <w:rFonts w:asciiTheme="minorHAnsi" w:hAnsiTheme="minorHAnsi"/>
          <w:sz w:val="22"/>
          <w:szCs w:val="22"/>
        </w:rPr>
        <w:t>Łączniki STOP umieszczone przy napędzie w maszynowni. Wciśnięcie łącznika rozwiera obwód bezpieczeńst</w:t>
      </w:r>
      <w:r>
        <w:rPr>
          <w:rFonts w:asciiTheme="minorHAnsi" w:hAnsiTheme="minorHAnsi"/>
          <w:sz w:val="22"/>
          <w:szCs w:val="22"/>
        </w:rPr>
        <w:t>wa uniemożliwiając pracę napędu</w:t>
      </w:r>
      <w:r w:rsidRPr="001A378A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 xml:space="preserve">(łącznik wyposażony w </w:t>
      </w:r>
      <w:r w:rsidRPr="001A378A">
        <w:rPr>
          <w:rFonts w:asciiTheme="minorHAnsi" w:hAnsiTheme="minorHAnsi"/>
          <w:sz w:val="22"/>
          <w:szCs w:val="22"/>
        </w:rPr>
        <w:t>potwie</w:t>
      </w:r>
      <w:r>
        <w:rPr>
          <w:rFonts w:asciiTheme="minorHAnsi" w:hAnsiTheme="minorHAnsi"/>
          <w:sz w:val="22"/>
          <w:szCs w:val="22"/>
        </w:rPr>
        <w:t>rdzenie</w:t>
      </w:r>
      <w:r w:rsidRPr="001A378A">
        <w:rPr>
          <w:rFonts w:asciiTheme="minorHAnsi" w:hAnsiTheme="minorHAnsi"/>
          <w:sz w:val="22"/>
          <w:szCs w:val="22"/>
        </w:rPr>
        <w:t xml:space="preserve"> zadziałania</w:t>
      </w:r>
      <w:r>
        <w:rPr>
          <w:rFonts w:asciiTheme="minorHAnsi" w:hAnsiTheme="minorHAnsi"/>
          <w:sz w:val="22"/>
          <w:szCs w:val="22"/>
        </w:rPr>
        <w:t xml:space="preserve"> – ułatwiona identyfikacja, który łącznik został użyty)</w:t>
      </w:r>
      <w:r w:rsidRPr="001A378A">
        <w:rPr>
          <w:rFonts w:asciiTheme="minorHAnsi" w:hAnsiTheme="minorHAnsi"/>
          <w:sz w:val="22"/>
          <w:szCs w:val="22"/>
        </w:rPr>
        <w:t>.</w:t>
      </w:r>
      <w:r>
        <w:rPr>
          <w:rFonts w:asciiTheme="minorHAnsi" w:hAnsiTheme="minorHAnsi"/>
          <w:sz w:val="22"/>
          <w:szCs w:val="22"/>
        </w:rPr>
        <w:t xml:space="preserve"> </w:t>
      </w:r>
      <w:r w:rsidRPr="001A378A">
        <w:rPr>
          <w:rFonts w:asciiTheme="minorHAnsi" w:hAnsiTheme="minorHAnsi"/>
          <w:sz w:val="22"/>
          <w:szCs w:val="22"/>
        </w:rPr>
        <w:t>Ł</w:t>
      </w:r>
      <w:r>
        <w:rPr>
          <w:rFonts w:asciiTheme="minorHAnsi" w:hAnsiTheme="minorHAnsi"/>
          <w:sz w:val="22"/>
          <w:szCs w:val="22"/>
        </w:rPr>
        <w:t>ącznik</w:t>
      </w:r>
      <w:r w:rsidRPr="001A378A">
        <w:rPr>
          <w:rFonts w:asciiTheme="minorHAnsi" w:hAnsiTheme="minorHAnsi"/>
          <w:sz w:val="22"/>
          <w:szCs w:val="22"/>
        </w:rPr>
        <w:t xml:space="preserve"> bezpieczeństwa przewidziane w sporządzonej dokumentacji elektrycznej.</w:t>
      </w:r>
      <w:r>
        <w:rPr>
          <w:rFonts w:asciiTheme="minorHAnsi" w:hAnsiTheme="minorHAnsi"/>
          <w:sz w:val="22"/>
          <w:szCs w:val="22"/>
        </w:rPr>
        <w:t xml:space="preserve"> Rozmieszczenie łączników w taki sposób aby osoba przebywająca w pobliżu napędu miała łącznik w zasięgu ręki.</w:t>
      </w:r>
    </w:p>
    <w:p w:rsidR="009115CE" w:rsidRDefault="009115CE" w:rsidP="00AA1127">
      <w:pPr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9115CE" w:rsidRPr="00865487" w:rsidRDefault="009115CE" w:rsidP="009115CE">
      <w:pPr>
        <w:tabs>
          <w:tab w:val="left" w:pos="3735"/>
        </w:tabs>
        <w:jc w:val="center"/>
        <w:rPr>
          <w:rFonts w:asciiTheme="minorHAnsi" w:hAnsiTheme="minorHAnsi"/>
        </w:rPr>
      </w:pPr>
      <w:r>
        <w:rPr>
          <w:rFonts w:asciiTheme="minorHAnsi" w:hAnsiTheme="minorHAnsi"/>
          <w:noProof/>
          <w:lang w:eastAsia="pl-PL" w:bidi="ar-SA"/>
        </w:rPr>
        <w:drawing>
          <wp:inline distT="0" distB="0" distL="0" distR="0" wp14:anchorId="51AA3A83" wp14:editId="0A939E4B">
            <wp:extent cx="1171575" cy="1189326"/>
            <wp:effectExtent l="0" t="0" r="0" b="0"/>
            <wp:docPr id="19" name="Obraz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EM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2753" cy="121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15CE" w:rsidRDefault="009115CE" w:rsidP="009115CE">
      <w:pPr>
        <w:tabs>
          <w:tab w:val="left" w:pos="3735"/>
        </w:tabs>
        <w:jc w:val="center"/>
        <w:rPr>
          <w:rFonts w:asciiTheme="minorHAnsi" w:hAnsiTheme="minorHAnsi"/>
        </w:rPr>
      </w:pPr>
      <w:r>
        <w:rPr>
          <w:rFonts w:asciiTheme="minorHAnsi" w:hAnsiTheme="minorHAnsi"/>
        </w:rPr>
        <w:t>Kasetka z łącznikiem bezpieczeństwa</w:t>
      </w:r>
    </w:p>
    <w:p w:rsidR="00865487" w:rsidRPr="00865487" w:rsidRDefault="00865487" w:rsidP="00865487">
      <w:pPr>
        <w:tabs>
          <w:tab w:val="left" w:pos="3735"/>
        </w:tabs>
        <w:jc w:val="both"/>
        <w:rPr>
          <w:rFonts w:asciiTheme="minorHAnsi" w:hAnsiTheme="minorHAnsi"/>
        </w:rPr>
      </w:pPr>
    </w:p>
    <w:p w:rsidR="00865487" w:rsidRPr="00865487" w:rsidRDefault="00865487" w:rsidP="00865487">
      <w:pPr>
        <w:tabs>
          <w:tab w:val="left" w:pos="3735"/>
        </w:tabs>
        <w:jc w:val="both"/>
        <w:rPr>
          <w:rFonts w:asciiTheme="minorHAnsi" w:hAnsiTheme="minorHAnsi"/>
        </w:rPr>
      </w:pPr>
    </w:p>
    <w:p w:rsidR="00865487" w:rsidRDefault="00BE2214" w:rsidP="00BE2214">
      <w:pPr>
        <w:pStyle w:val="Akapitzlist"/>
        <w:numPr>
          <w:ilvl w:val="0"/>
          <w:numId w:val="3"/>
        </w:numPr>
        <w:jc w:val="both"/>
        <w:rPr>
          <w:rFonts w:asciiTheme="minorHAnsi" w:hAnsiTheme="minorHAnsi"/>
          <w:i/>
        </w:rPr>
      </w:pPr>
      <w:r>
        <w:rPr>
          <w:rFonts w:asciiTheme="minorHAnsi" w:hAnsiTheme="minorHAnsi"/>
          <w:i/>
        </w:rPr>
        <w:t>„</w:t>
      </w:r>
      <w:r w:rsidR="00EF1284" w:rsidRPr="00EF1284">
        <w:rPr>
          <w:rFonts w:asciiTheme="minorHAnsi" w:hAnsiTheme="minorHAnsi"/>
          <w:i/>
          <w:szCs w:val="24"/>
        </w:rPr>
        <w:t>Zwiększyć poziom oświetlenia w miejscach pracy konserwatora</w:t>
      </w:r>
      <w:r>
        <w:rPr>
          <w:rFonts w:asciiTheme="minorHAnsi" w:hAnsiTheme="minorHAnsi"/>
          <w:i/>
        </w:rPr>
        <w:t>”</w:t>
      </w:r>
    </w:p>
    <w:p w:rsidR="00BE2214" w:rsidRDefault="00BE2214" w:rsidP="00BE2214">
      <w:pPr>
        <w:jc w:val="both"/>
        <w:rPr>
          <w:rFonts w:asciiTheme="minorHAnsi" w:hAnsiTheme="minorHAnsi"/>
          <w:i/>
        </w:rPr>
      </w:pPr>
    </w:p>
    <w:p w:rsidR="009115CE" w:rsidRPr="008448C9" w:rsidRDefault="009115CE" w:rsidP="009115CE">
      <w:pPr>
        <w:jc w:val="both"/>
        <w:rPr>
          <w:rFonts w:asciiTheme="minorHAnsi" w:hAnsiTheme="minorHAnsi"/>
          <w:sz w:val="22"/>
          <w:szCs w:val="22"/>
        </w:rPr>
      </w:pPr>
      <w:r w:rsidRPr="008448C9">
        <w:rPr>
          <w:rFonts w:asciiTheme="minorHAnsi" w:hAnsiTheme="minorHAnsi"/>
          <w:sz w:val="22"/>
          <w:szCs w:val="22"/>
        </w:rPr>
        <w:t>W celu zwiększenia poziomu oświetlenia zostanie dostarczony bateryjny przenośny system oświetleniowy. Czas pracy oświetlenia bez ładowania urządzenia 11h</w:t>
      </w:r>
    </w:p>
    <w:p w:rsidR="009115CE" w:rsidRDefault="009115CE" w:rsidP="009115CE">
      <w:pPr>
        <w:jc w:val="both"/>
        <w:rPr>
          <w:rFonts w:asciiTheme="minorHAnsi" w:hAnsiTheme="minorHAnsi"/>
        </w:rPr>
      </w:pPr>
    </w:p>
    <w:p w:rsidR="009115CE" w:rsidRDefault="009115CE" w:rsidP="009115CE">
      <w:pPr>
        <w:keepNext/>
        <w:jc w:val="center"/>
      </w:pPr>
      <w:r>
        <w:rPr>
          <w:noProof/>
          <w:lang w:eastAsia="pl-PL" w:bidi="ar-SA"/>
        </w:rPr>
        <w:drawing>
          <wp:inline distT="0" distB="0" distL="0" distR="0" wp14:anchorId="54E1ED04" wp14:editId="7A4E9AD3">
            <wp:extent cx="895350" cy="2229421"/>
            <wp:effectExtent l="0" t="0" r="0" b="0"/>
            <wp:docPr id="27" name="Obraz 27" descr="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  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0716" cy="23174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15CE" w:rsidRDefault="009115CE" w:rsidP="009115CE">
      <w:pPr>
        <w:pStyle w:val="Legenda"/>
        <w:jc w:val="center"/>
        <w:rPr>
          <w:rFonts w:asciiTheme="minorHAnsi" w:hAnsiTheme="minorHAnsi"/>
        </w:rPr>
      </w:pPr>
      <w:r>
        <w:rPr>
          <w:rFonts w:asciiTheme="minorHAnsi" w:hAnsiTheme="minorHAnsi"/>
        </w:rPr>
        <w:t>B</w:t>
      </w:r>
      <w:r>
        <w:t>ateryjny system oświetleniowy</w:t>
      </w:r>
    </w:p>
    <w:p w:rsidR="009115CE" w:rsidRDefault="009115CE" w:rsidP="00BE2214">
      <w:pPr>
        <w:jc w:val="both"/>
        <w:rPr>
          <w:rFonts w:asciiTheme="minorHAnsi" w:hAnsiTheme="minorHAnsi"/>
          <w:i/>
        </w:rPr>
      </w:pPr>
    </w:p>
    <w:p w:rsidR="005B2AB2" w:rsidRDefault="005B2AB2"/>
    <w:p w:rsidR="005B2AB2" w:rsidRDefault="005B2AB2"/>
    <w:sectPr w:rsidR="005B2AB2" w:rsidSect="00FF2B13">
      <w:footerReference w:type="defaul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274B" w:rsidRDefault="00A6274B" w:rsidP="00BC0743">
      <w:r>
        <w:separator/>
      </w:r>
    </w:p>
  </w:endnote>
  <w:endnote w:type="continuationSeparator" w:id="0">
    <w:p w:rsidR="00A6274B" w:rsidRDefault="00A6274B" w:rsidP="00BC07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, Calibri">
    <w:altName w:val="Arial"/>
    <w:charset w:val="00"/>
    <w:family w:val="swiss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8"/>
        <w:szCs w:val="28"/>
      </w:rPr>
      <w:id w:val="-1011912951"/>
      <w:docPartObj>
        <w:docPartGallery w:val="Page Numbers (Bottom of Page)"/>
        <w:docPartUnique/>
      </w:docPartObj>
    </w:sdtPr>
    <w:sdtEndPr/>
    <w:sdtContent>
      <w:p w:rsidR="00FF2B13" w:rsidRDefault="00FF2B13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asciiTheme="minorHAnsi" w:eastAsiaTheme="minorEastAsia" w:hAnsiTheme="minorHAnsi" w:cs="Times New Roman"/>
            <w:sz w:val="22"/>
            <w:szCs w:val="22"/>
          </w:rPr>
          <w:fldChar w:fldCharType="begin"/>
        </w:r>
        <w:r>
          <w:instrText>PAGE    \* MERGEFORMAT</w:instrText>
        </w:r>
        <w:r>
          <w:rPr>
            <w:rFonts w:asciiTheme="minorHAnsi" w:eastAsiaTheme="minorEastAsia" w:hAnsiTheme="minorHAnsi" w:cs="Times New Roman"/>
            <w:sz w:val="22"/>
            <w:szCs w:val="22"/>
          </w:rPr>
          <w:fldChar w:fldCharType="separate"/>
        </w:r>
        <w:r w:rsidR="00EA1B78" w:rsidRPr="00EA1B78">
          <w:rPr>
            <w:rFonts w:asciiTheme="majorHAnsi" w:eastAsiaTheme="majorEastAsia" w:hAnsiTheme="majorHAnsi" w:cstheme="majorBidi"/>
            <w:noProof/>
            <w:sz w:val="28"/>
            <w:szCs w:val="28"/>
          </w:rPr>
          <w:t>3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:rsidR="00FF2B13" w:rsidRDefault="00FF2B1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274B" w:rsidRDefault="00A6274B" w:rsidP="00BC0743">
      <w:r>
        <w:separator/>
      </w:r>
    </w:p>
  </w:footnote>
  <w:footnote w:type="continuationSeparator" w:id="0">
    <w:p w:rsidR="00A6274B" w:rsidRDefault="00A6274B" w:rsidP="00BC07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1B3B82"/>
    <w:multiLevelType w:val="hybridMultilevel"/>
    <w:tmpl w:val="E9B8F8C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8B0386"/>
    <w:multiLevelType w:val="hybridMultilevel"/>
    <w:tmpl w:val="C1B6E9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A111125"/>
    <w:multiLevelType w:val="hybridMultilevel"/>
    <w:tmpl w:val="A776C8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A263259"/>
    <w:multiLevelType w:val="hybridMultilevel"/>
    <w:tmpl w:val="A02A18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15393C"/>
    <w:multiLevelType w:val="hybridMultilevel"/>
    <w:tmpl w:val="0C3A67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6130"/>
    <w:rsid w:val="00067ABA"/>
    <w:rsid w:val="00080C2F"/>
    <w:rsid w:val="00092098"/>
    <w:rsid w:val="000B6EEE"/>
    <w:rsid w:val="000E08AC"/>
    <w:rsid w:val="000F6196"/>
    <w:rsid w:val="001745ED"/>
    <w:rsid w:val="0019239E"/>
    <w:rsid w:val="00193F5C"/>
    <w:rsid w:val="00217713"/>
    <w:rsid w:val="00233125"/>
    <w:rsid w:val="0027390C"/>
    <w:rsid w:val="0027730C"/>
    <w:rsid w:val="002805AC"/>
    <w:rsid w:val="00296229"/>
    <w:rsid w:val="002A5776"/>
    <w:rsid w:val="002A7519"/>
    <w:rsid w:val="002B2A0D"/>
    <w:rsid w:val="002F1AFE"/>
    <w:rsid w:val="003317EC"/>
    <w:rsid w:val="003726AB"/>
    <w:rsid w:val="003841E4"/>
    <w:rsid w:val="003E11FD"/>
    <w:rsid w:val="004B7328"/>
    <w:rsid w:val="004C56F4"/>
    <w:rsid w:val="004D7D4F"/>
    <w:rsid w:val="005251F0"/>
    <w:rsid w:val="00557166"/>
    <w:rsid w:val="005742B6"/>
    <w:rsid w:val="00593801"/>
    <w:rsid w:val="00596276"/>
    <w:rsid w:val="005A647B"/>
    <w:rsid w:val="005B2AB2"/>
    <w:rsid w:val="005C6130"/>
    <w:rsid w:val="0062384E"/>
    <w:rsid w:val="006274E4"/>
    <w:rsid w:val="00677DDA"/>
    <w:rsid w:val="006B120E"/>
    <w:rsid w:val="006B5D22"/>
    <w:rsid w:val="006D627C"/>
    <w:rsid w:val="006E3AE2"/>
    <w:rsid w:val="00710C66"/>
    <w:rsid w:val="00720567"/>
    <w:rsid w:val="007A76A4"/>
    <w:rsid w:val="007D203E"/>
    <w:rsid w:val="00823B7F"/>
    <w:rsid w:val="008336D2"/>
    <w:rsid w:val="00855A54"/>
    <w:rsid w:val="00865487"/>
    <w:rsid w:val="00883B1B"/>
    <w:rsid w:val="008C4B7B"/>
    <w:rsid w:val="008D5F0E"/>
    <w:rsid w:val="00902792"/>
    <w:rsid w:val="009115CE"/>
    <w:rsid w:val="00954C02"/>
    <w:rsid w:val="0098713D"/>
    <w:rsid w:val="009B0F57"/>
    <w:rsid w:val="00A05402"/>
    <w:rsid w:val="00A6274B"/>
    <w:rsid w:val="00A67D6A"/>
    <w:rsid w:val="00AA1127"/>
    <w:rsid w:val="00AB2A6B"/>
    <w:rsid w:val="00AF7E42"/>
    <w:rsid w:val="00B1060C"/>
    <w:rsid w:val="00B12016"/>
    <w:rsid w:val="00B26B66"/>
    <w:rsid w:val="00B90A1E"/>
    <w:rsid w:val="00BC0743"/>
    <w:rsid w:val="00BE2214"/>
    <w:rsid w:val="00C00289"/>
    <w:rsid w:val="00C0363E"/>
    <w:rsid w:val="00C13F99"/>
    <w:rsid w:val="00CB777F"/>
    <w:rsid w:val="00CD5D3E"/>
    <w:rsid w:val="00D66EB9"/>
    <w:rsid w:val="00D822E7"/>
    <w:rsid w:val="00DA6526"/>
    <w:rsid w:val="00DB3BFD"/>
    <w:rsid w:val="00DB6FBA"/>
    <w:rsid w:val="00E33966"/>
    <w:rsid w:val="00E417EE"/>
    <w:rsid w:val="00E5695F"/>
    <w:rsid w:val="00E64444"/>
    <w:rsid w:val="00E77048"/>
    <w:rsid w:val="00EA1B78"/>
    <w:rsid w:val="00EF1284"/>
    <w:rsid w:val="00F1169C"/>
    <w:rsid w:val="00F30B0D"/>
    <w:rsid w:val="00F47453"/>
    <w:rsid w:val="00F90CF5"/>
    <w:rsid w:val="00FF2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A479F7-C7A4-4633-896A-7EBD9E4BB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B1060C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Mangal"/>
      <w:kern w:val="3"/>
      <w:sz w:val="24"/>
      <w:szCs w:val="24"/>
      <w:lang w:eastAsia="zh-C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65487"/>
    <w:pPr>
      <w:keepNext/>
      <w:keepLines/>
      <w:spacing w:before="240"/>
      <w:outlineLvl w:val="0"/>
    </w:pPr>
    <w:rPr>
      <w:rFonts w:asciiTheme="majorHAnsi" w:eastAsiaTheme="majorEastAsia" w:hAnsiTheme="majorHAnsi"/>
      <w:color w:val="2E74B5" w:themeColor="accent1" w:themeShade="BF"/>
      <w:sz w:val="32"/>
      <w:szCs w:val="2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B1060C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alibri, Calibri" w:eastAsia="Calibri, Calibri" w:hAnsi="Calibri, Calibri" w:cs="Calibri, Calibri"/>
      <w:color w:val="000000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B1060C"/>
    <w:pPr>
      <w:spacing w:after="120"/>
    </w:pPr>
  </w:style>
  <w:style w:type="paragraph" w:customStyle="1" w:styleId="Tekstblokowy1">
    <w:name w:val="Tekst blokowy1"/>
    <w:basedOn w:val="Standard"/>
    <w:rsid w:val="00B1060C"/>
    <w:pPr>
      <w:ind w:left="-567" w:right="-1"/>
      <w:jc w:val="center"/>
    </w:pPr>
    <w:rPr>
      <w:rFonts w:ascii="Arial" w:hAnsi="Arial"/>
      <w:sz w:val="32"/>
    </w:rPr>
  </w:style>
  <w:style w:type="paragraph" w:customStyle="1" w:styleId="Zwizy">
    <w:name w:val="Zwięzły"/>
    <w:basedOn w:val="Normalny"/>
    <w:rsid w:val="00B1060C"/>
    <w:pPr>
      <w:widowControl/>
      <w:spacing w:line="300" w:lineRule="auto"/>
      <w:jc w:val="both"/>
      <w:textAlignment w:val="auto"/>
    </w:pPr>
    <w:rPr>
      <w:rFonts w:eastAsia="SimSun" w:cs="Times New Roman"/>
      <w:kern w:val="0"/>
      <w:sz w:val="18"/>
      <w:szCs w:val="18"/>
      <w:lang w:val="fr-FR" w:eastAsia="ar-SA" w:bidi="ar-SA"/>
    </w:rPr>
  </w:style>
  <w:style w:type="table" w:styleId="Tabela-Siatka">
    <w:name w:val="Table Grid"/>
    <w:basedOn w:val="Standardowy"/>
    <w:uiPriority w:val="39"/>
    <w:rsid w:val="005571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C0743"/>
    <w:rPr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C0743"/>
    <w:rPr>
      <w:rFonts w:ascii="Arial" w:eastAsia="Lucida Sans Unicode" w:hAnsi="Arial" w:cs="Mangal"/>
      <w:kern w:val="3"/>
      <w:sz w:val="20"/>
      <w:szCs w:val="18"/>
      <w:lang w:eastAsia="zh-CN" w:bidi="hi-I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C0743"/>
    <w:rPr>
      <w:vertAlign w:val="superscript"/>
    </w:rPr>
  </w:style>
  <w:style w:type="paragraph" w:styleId="Legenda">
    <w:name w:val="caption"/>
    <w:basedOn w:val="Normalny"/>
    <w:next w:val="Normalny"/>
    <w:uiPriority w:val="35"/>
    <w:unhideWhenUsed/>
    <w:qFormat/>
    <w:rsid w:val="003317EC"/>
    <w:pPr>
      <w:spacing w:after="200"/>
    </w:pPr>
    <w:rPr>
      <w:i/>
      <w:iCs/>
      <w:color w:val="44546A" w:themeColor="text2"/>
      <w:sz w:val="18"/>
      <w:szCs w:val="16"/>
    </w:rPr>
  </w:style>
  <w:style w:type="paragraph" w:styleId="Akapitzlist">
    <w:name w:val="List Paragraph"/>
    <w:basedOn w:val="Normalny"/>
    <w:uiPriority w:val="34"/>
    <w:qFormat/>
    <w:rsid w:val="00865487"/>
    <w:pPr>
      <w:ind w:left="720"/>
      <w:contextualSpacing/>
    </w:pPr>
    <w:rPr>
      <w:szCs w:val="21"/>
    </w:rPr>
  </w:style>
  <w:style w:type="character" w:customStyle="1" w:styleId="Nagwek1Znak">
    <w:name w:val="Nagłówek 1 Znak"/>
    <w:basedOn w:val="Domylnaczcionkaakapitu"/>
    <w:link w:val="Nagwek1"/>
    <w:uiPriority w:val="9"/>
    <w:rsid w:val="00865487"/>
    <w:rPr>
      <w:rFonts w:asciiTheme="majorHAnsi" w:eastAsiaTheme="majorEastAsia" w:hAnsiTheme="majorHAnsi" w:cs="Mangal"/>
      <w:color w:val="2E74B5" w:themeColor="accent1" w:themeShade="BF"/>
      <w:kern w:val="3"/>
      <w:sz w:val="32"/>
      <w:szCs w:val="29"/>
      <w:lang w:eastAsia="zh-CN" w:bidi="hi-IN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65487"/>
    <w:pPr>
      <w:widowControl/>
      <w:suppressAutoHyphens w:val="0"/>
      <w:autoSpaceDN/>
      <w:spacing w:line="259" w:lineRule="auto"/>
      <w:textAlignment w:val="auto"/>
      <w:outlineLvl w:val="9"/>
    </w:pPr>
    <w:rPr>
      <w:rFonts w:cstheme="majorBidi"/>
      <w:kern w:val="0"/>
      <w:szCs w:val="32"/>
      <w:lang w:eastAsia="pl-PL" w:bidi="ar-SA"/>
    </w:rPr>
  </w:style>
  <w:style w:type="paragraph" w:styleId="Spistreci1">
    <w:name w:val="toc 1"/>
    <w:basedOn w:val="Normalny"/>
    <w:next w:val="Normalny"/>
    <w:autoRedefine/>
    <w:uiPriority w:val="39"/>
    <w:unhideWhenUsed/>
    <w:rsid w:val="00865487"/>
    <w:pPr>
      <w:spacing w:after="100"/>
    </w:pPr>
    <w:rPr>
      <w:szCs w:val="21"/>
    </w:rPr>
  </w:style>
  <w:style w:type="character" w:styleId="Hipercze">
    <w:name w:val="Hyperlink"/>
    <w:basedOn w:val="Domylnaczcionkaakapitu"/>
    <w:uiPriority w:val="99"/>
    <w:unhideWhenUsed/>
    <w:rsid w:val="00865487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FF2B13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FF2B13"/>
    <w:rPr>
      <w:rFonts w:ascii="Arial" w:eastAsia="Lucida Sans Unicode" w:hAnsi="Arial" w:cs="Mangal"/>
      <w:kern w:val="3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FF2B13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FF2B13"/>
    <w:rPr>
      <w:rFonts w:ascii="Arial" w:eastAsia="Lucida Sans Unicode" w:hAnsi="Arial" w:cs="Mangal"/>
      <w:kern w:val="3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FDDED2-C3A7-4D9F-B9DD-6BF7AFAD7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976</TotalTime>
  <Pages>4</Pages>
  <Words>412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HyperWorks</dc:creator>
  <cp:keywords/>
  <dc:description/>
  <cp:lastModifiedBy>HyperWorks</cp:lastModifiedBy>
  <cp:revision>32</cp:revision>
  <dcterms:created xsi:type="dcterms:W3CDTF">2014-04-10T08:08:00Z</dcterms:created>
  <dcterms:modified xsi:type="dcterms:W3CDTF">2014-06-04T09:24:00Z</dcterms:modified>
</cp:coreProperties>
</file>